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View this image</w:t>
      </w:r>
      <w:r>
        <w:t xml:space="preserve"> </w:t>
      </w:r>
      <w:hyperlink r:id="rId26">
        <w:r>
          <w:rPr>
            <w:rStyle w:val="Hyperlink"/>
          </w:rPr>
          <w:t xml:space="preserve">here.</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We also know that SOC is the irresistibly yummy metabolic currency for soil microbes, which can be consumed and respired as CO2 back to the atmosphere if it is not protected. So alas, it is the delicate balance of both carbon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the microbes in the soil ecosystem. Carbon can also be protected chemically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 DOI:</w:t>
      </w:r>
      <w:r>
        <w:t xml:space="preserve"> </w:t>
      </w:r>
      <w:hyperlink r:id="rId31">
        <w:r>
          <w:rPr>
            <w:rStyle w:val="Hyperlink"/>
          </w:rPr>
          <w:t xml:space="preserve">10.1.1.591.896</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befd38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2018-05-10T19:45:24Z</dcterms:created>
  <dcterms:modified xsi:type="dcterms:W3CDTF">2018-05-10T19:45:24Z</dcterms:modified>
</cp:coreProperties>
</file>